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关于修订《浙江省司法鉴定机构内部管理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评价办法》《浙江省司法鉴定机构内部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管理评价细则》的起草说明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为加强对司法鉴定机构和司法鉴定人执业活动的监督管理，推进司法鉴定机构规范化发展，我处对2014年下发的《浙江省司法鉴定机构内部管理评价办法》《浙江省司法鉴定机构内部管理评价细则》（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以下简称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《办法》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《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》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）进行了修订，现就有关情况说明如下：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一、《办法》《细则》修改的必要性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现行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《办法》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《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》自201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行以来，对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加强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司法鉴定执业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监管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，提升司法鉴定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公信力，推进司法鉴定转型升级等方面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发挥了积极作用。近年来，随着统一司法鉴定管理体制改革的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逐步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推进，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中办、国办下发了《关于健全统一司法鉴定管理体制的实施意见》，司法部先后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修订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《司法鉴定程序通则》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、下发了《关于严格准入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 xml:space="preserve"> 严格监管提高司法鉴定质量和公信力的意见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《司法部关于进一步深化改革 强化监管 提高司法鉴定质量和公信力的意见》《关于落实司法鉴定行业党建工作任务的指导意见》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等对鉴定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监督和管理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作出新的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要求和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规定。随着司法鉴定工作不断发展，司法鉴定执业活动出现了一些新情况、新问题，现行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《办法》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《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》在某些方面已不能完全适应新的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形势和新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要求，有必要进一步予以完善。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二、《办法》《细则》修改的依据及过程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2016年3月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司法部修订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《司法鉴定程序通则》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（司法部令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132号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2017年7月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中办、国办下发了《关于健全统一司法鉴定管理体制的实施意见》（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eastAsia="zh-CN"/>
        </w:rPr>
        <w:t>厅字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</w:rPr>
        <w:t>〕4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11月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司法部下发了《关于严格准入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 xml:space="preserve"> 严格监管提高司法鉴定质量和公信力的意见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</w:rPr>
        <w:t>司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eastAsia="zh-CN"/>
        </w:rPr>
        <w:t>发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</w:rPr>
        <w:t>〕4号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2020年11月司法部下发《司法部关于进一步深化改革 强化监管 提高司法鉴定质量和公信力的意见》（司发〔2020〕1号），2021年3月司法部公共法律服务管理局于下发了《关于落实司法鉴定行业党建工作任务的指导意见》（司公通〔2021〕8号），2020年12月中共浙江省司法厅委员会下发了《关于加强全省司法鉴定行业党的建设工作的指导意见》（浙司党〔2020〕74号）。为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eastAsia="zh-CN"/>
        </w:rPr>
        <w:t>全面贯彻落实上述文件精神，进一步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加强对司法鉴定机构和司法鉴定人执业活动的监督管理，推进司法鉴定机构规范化发展，我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处在充分调研论证的基础上，对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进行修订。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5月11日我处将《办法》《细则》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草拟稿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送各地市征求意见；6月4日召开处务会专门讨论《办法》《细则》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草拟稿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对《办法》《细则》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草拟稿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作了进一步修改；6月中下旬，根据处室讨论修订意见再次向绍兴、台州、宁波等地市征求意见，并要求司法鉴定机构对《细则》进行预测评；6月23日组织人员赴绍兴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召开专题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座谈会，再次听取《办法》《细则》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草拟稿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的意见和建议。后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对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（修订版）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再次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进行了部分修改，形成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目前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《办法》《细则》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（征求意见稿）。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三、《办法》《细则》修改的主要内容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（一）突出党对司法鉴定机构的引领作用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加大党建部分的评价内容和分值，依据司法部《关于落实司法鉴定行业党建工作任务的指导意见》（司公通</w:t>
      </w: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〔2021〕8号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）和浙江省司法厅委员会《关于加强全省司法鉴定行业党的建设工作的指导意见》（浙司党〔2020〕74号）等文件要求，将党建责任、落实“三进”“四同步”要求、党组织建设和发挥党组织和党员作用等内容纳入评分标准。引导鉴定机构积极开展党建工作，发挥党组织引领作用，以党的建设促机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（二）贯彻落实《关于进一步深化改革 强化监管提高司法鉴定质量和公信力的意见》等文件精神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通过对部分评分标准的调整，加大《意见》的贯彻力度，如干预鉴定活动记录和报告制度、制定司法鉴定人才培养规划、开展分级分类培训、规范司法鉴定人助理管理、推行鉴定人执业承诺制度、设立鉴定机构法律顾问加强内部风险防控、浙江省司法鉴定统一受案管理平台案件登记管理等，进一步完善体制机制，严格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（三）明确鉴定人负责制的具体要求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鉴定人负责制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要求鉴定意见必须以鉴定人个人名义作出，鉴定人接受委托后，从检材的提取、保管、检验、甄别等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环节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，都应由鉴定人根据鉴定的技术操作规范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亲自、独立实施。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新的评分标准进一步明确了鉴定过程中鉴定人都要做到全程参与，如发现鉴定实施仅由一名鉴定人完成，其他鉴定人挂名签字的情况，一方面在内部管理评价中扣分，另一方面追究鉴定机构和鉴定人的相关责任，切实打击虚假鉴定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强化对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auto"/>
        </w:rPr>
        <w:t>重点领域实行重点监管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仿宋_GB2312"/>
          <w:color w:val="000000"/>
          <w:sz w:val="32"/>
          <w:szCs w:val="32"/>
          <w:lang w:val="en-US" w:eastAsia="zh-CN"/>
        </w:rPr>
        <w:t>结合我省近几年执业监管的实际，将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鉴定机构不参加本年度能力验证或能力验证结果为“不通过”的项目达2项以上的；鉴定机构在司法行政机关组织的案卷评查中存在不合格案卷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两种情形认定为不能评为优秀等次。对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鉴定机构提交的年度执业情况报告、鉴定人执业年度考核结果，或者接受检查时，存在严重弄虚作假行为的；鉴定机构该年度未出具司法鉴定意见的；无正当理由逾期未提交评价考核材料的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等三种情况直接评为不合格。形成对违法违规行为的一票否决制度，推动鉴定机构规范执业活动，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守住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司法鉴定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质量底线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（五）内部管理评价工作职能下沉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 w:firstLineChars="0"/>
        <w:textAlignment w:val="auto"/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根据过往内部管理评价工作实际，全省各地在内部管理评价过程中评分标准不尽相同，造成评价结果的不平衡。本次修订根据属地管理原则，遵循“谁评价谁发布”，由市司法局在开展内部管理评价工作的同时，负责评价结果的公示和发布工作，真正做到让看得见的管得到、管得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（六）增强内部管理评价结果运用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在新的评价标准下，被评为优秀等次的难度提高，除了过往的要求以外，增加了“案卷评查中不得存在不合格案卷”“能力验证中不得存在不通过项目”的要求。在接下来的具体评价工作中，应当以“合格”为常态，“优秀”宁缺毋滥的要求进行评价，鼓励鉴定机构按照评分标准建设机构，达到监管部门要求，打造全省乃至全国范围内管理规范、业务拔尖、影响巨大的优秀司法鉴定机构。对评价结果为“不合格”的鉴定机构，要求市司法局要加强监管，并对下一年度增加对该鉴定机构和鉴定人的抽查频次和比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C096"/>
    <w:multiLevelType w:val="singleLevel"/>
    <w:tmpl w:val="60E3C096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BC2587"/>
    <w:rsid w:val="38227EB6"/>
    <w:rsid w:val="6B1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_GB2312" w:asciiTheme="minorHAnsi" w:hAnsiTheme="minorHAnsi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吴成鹏(wucp)</cp:lastModifiedBy>
  <dcterms:modified xsi:type="dcterms:W3CDTF">2021-07-08T07:51:48Z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